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0CB7" w14:textId="5805EAFE" w:rsidR="00FE067E" w:rsidRPr="00F708D9" w:rsidRDefault="009025A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61505CF" wp14:editId="0D6219E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4FB6D5" w14:textId="49147AD3" w:rsidR="009025A7" w:rsidRPr="009025A7" w:rsidRDefault="009025A7" w:rsidP="009025A7">
                            <w:pPr>
                              <w:spacing w:line="240" w:lineRule="auto"/>
                              <w:jc w:val="center"/>
                              <w:rPr>
                                <w:rFonts w:cs="Arial"/>
                                <w:b/>
                              </w:rPr>
                            </w:pPr>
                            <w:r w:rsidRPr="009025A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505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C4FB6D5" w14:textId="49147AD3" w:rsidR="009025A7" w:rsidRPr="009025A7" w:rsidRDefault="009025A7" w:rsidP="009025A7">
                      <w:pPr>
                        <w:spacing w:line="240" w:lineRule="auto"/>
                        <w:jc w:val="center"/>
                        <w:rPr>
                          <w:rFonts w:cs="Arial"/>
                          <w:b/>
                        </w:rPr>
                      </w:pPr>
                      <w:r w:rsidRPr="009025A7">
                        <w:rPr>
                          <w:rFonts w:cs="Arial"/>
                          <w:b/>
                        </w:rPr>
                        <w:t>FISCAL NOTE</w:t>
                      </w:r>
                    </w:p>
                  </w:txbxContent>
                </v:textbox>
              </v:shape>
            </w:pict>
          </mc:Fallback>
        </mc:AlternateContent>
      </w:r>
      <w:r w:rsidR="003C6034" w:rsidRPr="00F708D9">
        <w:rPr>
          <w:caps w:val="0"/>
          <w:color w:val="auto"/>
        </w:rPr>
        <w:t>WEST VIRGINIA LEGISLATURE</w:t>
      </w:r>
    </w:p>
    <w:p w14:paraId="29E481E1" w14:textId="77777777" w:rsidR="00CD36CF" w:rsidRPr="00F708D9" w:rsidRDefault="00CD36CF" w:rsidP="00CC1F3B">
      <w:pPr>
        <w:pStyle w:val="TitlePageSession"/>
        <w:rPr>
          <w:color w:val="auto"/>
        </w:rPr>
      </w:pPr>
      <w:r w:rsidRPr="00F708D9">
        <w:rPr>
          <w:color w:val="auto"/>
        </w:rPr>
        <w:t>20</w:t>
      </w:r>
      <w:r w:rsidR="00EC5E63" w:rsidRPr="00F708D9">
        <w:rPr>
          <w:color w:val="auto"/>
        </w:rPr>
        <w:t>2</w:t>
      </w:r>
      <w:r w:rsidR="00400B5C" w:rsidRPr="00F708D9">
        <w:rPr>
          <w:color w:val="auto"/>
        </w:rPr>
        <w:t>2</w:t>
      </w:r>
      <w:r w:rsidRPr="00F708D9">
        <w:rPr>
          <w:color w:val="auto"/>
        </w:rPr>
        <w:t xml:space="preserve"> </w:t>
      </w:r>
      <w:r w:rsidR="003C6034" w:rsidRPr="00F708D9">
        <w:rPr>
          <w:caps w:val="0"/>
          <w:color w:val="auto"/>
        </w:rPr>
        <w:t>REGULAR SESSION</w:t>
      </w:r>
    </w:p>
    <w:p w14:paraId="3E574D76" w14:textId="77777777" w:rsidR="00CD36CF" w:rsidRPr="00F708D9" w:rsidRDefault="009F25B6" w:rsidP="00CC1F3B">
      <w:pPr>
        <w:pStyle w:val="TitlePageBillPrefix"/>
        <w:rPr>
          <w:color w:val="auto"/>
        </w:rPr>
      </w:pPr>
      <w:sdt>
        <w:sdtPr>
          <w:rPr>
            <w:color w:val="auto"/>
          </w:rPr>
          <w:tag w:val="IntroDate"/>
          <w:id w:val="-1236936958"/>
          <w:placeholder>
            <w:docPart w:val="422A785A552D469199FA7279674A88DD"/>
          </w:placeholder>
          <w:text/>
        </w:sdtPr>
        <w:sdtEndPr/>
        <w:sdtContent>
          <w:r w:rsidR="00AE48A0" w:rsidRPr="00F708D9">
            <w:rPr>
              <w:color w:val="auto"/>
            </w:rPr>
            <w:t>Introduced</w:t>
          </w:r>
        </w:sdtContent>
      </w:sdt>
    </w:p>
    <w:p w14:paraId="36436E9A" w14:textId="5209CF50" w:rsidR="00CD36CF" w:rsidRPr="00F708D9" w:rsidRDefault="009F25B6" w:rsidP="00CC1F3B">
      <w:pPr>
        <w:pStyle w:val="BillNumber"/>
        <w:rPr>
          <w:color w:val="auto"/>
        </w:rPr>
      </w:pPr>
      <w:sdt>
        <w:sdtPr>
          <w:rPr>
            <w:color w:val="auto"/>
          </w:rPr>
          <w:tag w:val="Chamber"/>
          <w:id w:val="893011969"/>
          <w:lock w:val="sdtLocked"/>
          <w:placeholder>
            <w:docPart w:val="FF5FD200C609444C90FCABCE24BD7497"/>
          </w:placeholder>
          <w:dropDownList>
            <w:listItem w:displayText="House" w:value="House"/>
            <w:listItem w:displayText="Senate" w:value="Senate"/>
          </w:dropDownList>
        </w:sdtPr>
        <w:sdtEndPr/>
        <w:sdtContent>
          <w:r w:rsidR="00C33434" w:rsidRPr="00F708D9">
            <w:rPr>
              <w:color w:val="auto"/>
            </w:rPr>
            <w:t>House</w:t>
          </w:r>
        </w:sdtContent>
      </w:sdt>
      <w:r w:rsidR="00303684" w:rsidRPr="00F708D9">
        <w:rPr>
          <w:color w:val="auto"/>
        </w:rPr>
        <w:t xml:space="preserve"> </w:t>
      </w:r>
      <w:r w:rsidR="00CD36CF" w:rsidRPr="00F708D9">
        <w:rPr>
          <w:color w:val="auto"/>
        </w:rPr>
        <w:t xml:space="preserve">Bill </w:t>
      </w:r>
      <w:sdt>
        <w:sdtPr>
          <w:rPr>
            <w:color w:val="auto"/>
          </w:rPr>
          <w:tag w:val="BNum"/>
          <w:id w:val="1645317809"/>
          <w:lock w:val="sdtLocked"/>
          <w:placeholder>
            <w:docPart w:val="4B9515F18378463499E9605973881FEC"/>
          </w:placeholder>
          <w:text/>
        </w:sdtPr>
        <w:sdtEndPr/>
        <w:sdtContent>
          <w:r w:rsidR="00F81ABE">
            <w:rPr>
              <w:color w:val="auto"/>
            </w:rPr>
            <w:t>4308</w:t>
          </w:r>
        </w:sdtContent>
      </w:sdt>
    </w:p>
    <w:p w14:paraId="53F6CF67" w14:textId="537DDECC" w:rsidR="00CD36CF" w:rsidRPr="00F708D9" w:rsidRDefault="00CD36CF" w:rsidP="00CC1F3B">
      <w:pPr>
        <w:pStyle w:val="Sponsors"/>
        <w:rPr>
          <w:color w:val="auto"/>
        </w:rPr>
      </w:pPr>
      <w:r w:rsidRPr="00F708D9">
        <w:rPr>
          <w:color w:val="auto"/>
        </w:rPr>
        <w:t xml:space="preserve">By </w:t>
      </w:r>
      <w:sdt>
        <w:sdtPr>
          <w:rPr>
            <w:color w:val="auto"/>
          </w:rPr>
          <w:tag w:val="Sponsors"/>
          <w:id w:val="1589585889"/>
          <w:placeholder>
            <w:docPart w:val="8EF710B097354D43835A78E6B53516CC"/>
          </w:placeholder>
          <w:text w:multiLine="1"/>
        </w:sdtPr>
        <w:sdtEndPr/>
        <w:sdtContent>
          <w:r w:rsidR="00A41E5C" w:rsidRPr="00F708D9">
            <w:rPr>
              <w:color w:val="auto"/>
            </w:rPr>
            <w:t>Delegate</w:t>
          </w:r>
          <w:r w:rsidR="00E778B3">
            <w:rPr>
              <w:color w:val="auto"/>
            </w:rPr>
            <w:t>s</w:t>
          </w:r>
          <w:r w:rsidR="00A41E5C" w:rsidRPr="00F708D9">
            <w:rPr>
              <w:color w:val="auto"/>
            </w:rPr>
            <w:t xml:space="preserve"> Capito</w:t>
          </w:r>
          <w:r w:rsidR="009F25B6">
            <w:rPr>
              <w:color w:val="auto"/>
            </w:rPr>
            <w:t xml:space="preserve">, </w:t>
          </w:r>
          <w:r w:rsidR="00E778B3">
            <w:rPr>
              <w:color w:val="auto"/>
            </w:rPr>
            <w:t>Zukoff</w:t>
          </w:r>
          <w:r w:rsidR="009F25B6">
            <w:rPr>
              <w:color w:val="auto"/>
            </w:rPr>
            <w:t>, Fluharty, Garcia, Kimble, Lovejoy and Pushkin</w:t>
          </w:r>
        </w:sdtContent>
      </w:sdt>
    </w:p>
    <w:p w14:paraId="43DBA813" w14:textId="290350BD" w:rsidR="00F708D9" w:rsidRPr="00F708D9" w:rsidRDefault="00CD36CF" w:rsidP="00CC1F3B">
      <w:pPr>
        <w:pStyle w:val="References"/>
        <w:rPr>
          <w:color w:val="auto"/>
        </w:rPr>
      </w:pPr>
      <w:r w:rsidRPr="00F708D9">
        <w:rPr>
          <w:color w:val="auto"/>
        </w:rPr>
        <w:t>[</w:t>
      </w:r>
      <w:r w:rsidR="00A41E5C" w:rsidRPr="00F708D9">
        <w:rPr>
          <w:color w:val="auto"/>
        </w:rPr>
        <w:t xml:space="preserve">Introduced </w:t>
      </w:r>
      <w:r w:rsidR="00344F20">
        <w:rPr>
          <w:color w:val="auto"/>
        </w:rPr>
        <w:t>January 20, 2022</w:t>
      </w:r>
      <w:r w:rsidR="00A41E5C" w:rsidRPr="00F708D9">
        <w:rPr>
          <w:color w:val="auto"/>
        </w:rPr>
        <w:t xml:space="preserve">; Referred </w:t>
      </w:r>
    </w:p>
    <w:p w14:paraId="3E7F8ADE" w14:textId="4EFF7649" w:rsidR="00E831B3" w:rsidRPr="00F708D9" w:rsidRDefault="00A41E5C" w:rsidP="00CC1F3B">
      <w:pPr>
        <w:pStyle w:val="References"/>
        <w:rPr>
          <w:color w:val="auto"/>
        </w:rPr>
      </w:pPr>
      <w:r w:rsidRPr="00F708D9">
        <w:rPr>
          <w:color w:val="auto"/>
        </w:rPr>
        <w:t xml:space="preserve">to the Committee on </w:t>
      </w:r>
      <w:r w:rsidR="00344F20">
        <w:rPr>
          <w:color w:val="auto"/>
        </w:rPr>
        <w:t>the Judiciary</w:t>
      </w:r>
      <w:r w:rsidR="00CD36CF" w:rsidRPr="00F708D9">
        <w:rPr>
          <w:color w:val="auto"/>
        </w:rPr>
        <w:t>]</w:t>
      </w:r>
    </w:p>
    <w:p w14:paraId="3DFF486E" w14:textId="3C2717F2" w:rsidR="00303684" w:rsidRPr="00F708D9" w:rsidRDefault="0000526A" w:rsidP="00CC1F3B">
      <w:pPr>
        <w:pStyle w:val="TitleSection"/>
        <w:rPr>
          <w:color w:val="auto"/>
        </w:rPr>
      </w:pPr>
      <w:r w:rsidRPr="00F708D9">
        <w:rPr>
          <w:color w:val="auto"/>
        </w:rPr>
        <w:lastRenderedPageBreak/>
        <w:t>A BILL</w:t>
      </w:r>
      <w:r w:rsidR="007E4051" w:rsidRPr="00F708D9">
        <w:rPr>
          <w:color w:val="auto"/>
        </w:rPr>
        <w:t xml:space="preserve"> to amend and reenact the Code of West Virginia, 1931, as amended, by adding thereto a new section, designated §14-2A-11a; to amend and reenact §14-2A-14 of said code; and to amend and reenact §49-5-101 of said code, all relating to facilitating investigation and award of benefits under the West Virginia Crime Victims’ Compensation Fund when a child is the subject of a civil abuse and neglect petition or injurious conduct is alleged to have been committed by or against a child; expanding the class of persons who may apply on behalf of a child</w:t>
      </w:r>
      <w:r w:rsidR="00411D01" w:rsidRPr="00F708D9">
        <w:rPr>
          <w:color w:val="auto"/>
        </w:rPr>
        <w:t>;</w:t>
      </w:r>
      <w:r w:rsidR="00447AFA" w:rsidRPr="00F708D9">
        <w:rPr>
          <w:color w:val="auto"/>
        </w:rPr>
        <w:t xml:space="preserve"> specifying that </w:t>
      </w:r>
      <w:r w:rsidR="00411D01" w:rsidRPr="00F708D9">
        <w:rPr>
          <w:color w:val="auto"/>
        </w:rPr>
        <w:t xml:space="preserve">official </w:t>
      </w:r>
      <w:r w:rsidR="00447AFA" w:rsidRPr="00F708D9">
        <w:rPr>
          <w:color w:val="auto"/>
        </w:rPr>
        <w:t>records relating to a child or juvenile may be disclosed for evaluation of a Crime Victims’ Compensation Fund application</w:t>
      </w:r>
      <w:r w:rsidR="00411D01" w:rsidRPr="00F708D9">
        <w:rPr>
          <w:color w:val="auto"/>
        </w:rPr>
        <w:t>, and providing for confidentiality of records and proceedings</w:t>
      </w:r>
      <w:r w:rsidR="00447AFA" w:rsidRPr="00F708D9">
        <w:rPr>
          <w:color w:val="auto"/>
        </w:rPr>
        <w:t>.</w:t>
      </w:r>
    </w:p>
    <w:p w14:paraId="058A7F61" w14:textId="77777777" w:rsidR="00303684" w:rsidRPr="00F708D9" w:rsidRDefault="00303684" w:rsidP="00CC1F3B">
      <w:pPr>
        <w:pStyle w:val="EnactingClause"/>
        <w:rPr>
          <w:color w:val="auto"/>
        </w:rPr>
      </w:pPr>
      <w:r w:rsidRPr="00F708D9">
        <w:rPr>
          <w:color w:val="auto"/>
        </w:rPr>
        <w:t>Be it enacted by the Legislature of West Virginia:</w:t>
      </w:r>
    </w:p>
    <w:p w14:paraId="28A72696" w14:textId="2F801CDD" w:rsidR="009E70BB" w:rsidRPr="00F708D9" w:rsidRDefault="009E70BB" w:rsidP="007E4051">
      <w:pPr>
        <w:pStyle w:val="ChapterHeading"/>
        <w:rPr>
          <w:color w:val="auto"/>
        </w:rPr>
      </w:pPr>
      <w:r w:rsidRPr="00F708D9">
        <w:rPr>
          <w:color w:val="auto"/>
        </w:rPr>
        <w:t>CHAPTER 14. CLAIMS DUE AND AGAINST THE STATE.</w:t>
      </w:r>
    </w:p>
    <w:p w14:paraId="422642F1" w14:textId="65EC6AAB" w:rsidR="001E5B3B" w:rsidRPr="00F708D9" w:rsidRDefault="001E5B3B" w:rsidP="007E4051">
      <w:pPr>
        <w:pStyle w:val="ArticleHeading"/>
        <w:rPr>
          <w:color w:val="auto"/>
        </w:rPr>
      </w:pPr>
      <w:r w:rsidRPr="00F708D9">
        <w:rPr>
          <w:color w:val="auto"/>
        </w:rPr>
        <w:t>ARTICLE 2A. COMPENSATION AWARDS TO VICTIMS OF CRIMES.</w:t>
      </w:r>
    </w:p>
    <w:p w14:paraId="39C51BF5" w14:textId="166A95A4" w:rsidR="00366F6F" w:rsidRPr="00F708D9" w:rsidRDefault="00366F6F" w:rsidP="00366F6F">
      <w:pPr>
        <w:pStyle w:val="SectionHeading"/>
        <w:rPr>
          <w:color w:val="auto"/>
          <w:u w:val="single"/>
        </w:rPr>
      </w:pPr>
      <w:r w:rsidRPr="00F708D9">
        <w:rPr>
          <w:color w:val="auto"/>
          <w:u w:val="single"/>
        </w:rPr>
        <w:t>§14-2A-11a. Application and proceedings when the victim is the subject of a civil abuse or neglect petition.</w:t>
      </w:r>
    </w:p>
    <w:p w14:paraId="35FA4D13" w14:textId="77777777" w:rsidR="00366F6F" w:rsidRPr="00F708D9" w:rsidRDefault="00366F6F" w:rsidP="00366F6F">
      <w:pPr>
        <w:pStyle w:val="SectionBody"/>
        <w:rPr>
          <w:rFonts w:cs="Arial"/>
          <w:color w:val="auto"/>
          <w:u w:val="single"/>
        </w:rPr>
        <w:sectPr w:rsidR="00366F6F" w:rsidRPr="00F708D9" w:rsidSect="0038675D">
          <w:headerReference w:type="even" r:id="rId8"/>
          <w:headerReference w:type="default"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11FB7758" w14:textId="7C6A4C8D" w:rsidR="00366F6F" w:rsidRPr="00F708D9" w:rsidRDefault="00366F6F" w:rsidP="00366F6F">
      <w:pPr>
        <w:pStyle w:val="SectionBody"/>
        <w:rPr>
          <w:rFonts w:cs="Arial"/>
          <w:color w:val="auto"/>
          <w:u w:val="single"/>
        </w:rPr>
      </w:pPr>
      <w:r w:rsidRPr="00F708D9">
        <w:rPr>
          <w:rFonts w:cs="Arial"/>
          <w:color w:val="auto"/>
          <w:u w:val="single"/>
        </w:rPr>
        <w:t>(a) An application for benefits on behalf of a minor child who is the subject of a civil abuse and neglect petition may be filed by a foster parent, adoptive parent, legal guardian of the minor child,</w:t>
      </w:r>
      <w:r w:rsidR="008F3FEC" w:rsidRPr="00F708D9">
        <w:rPr>
          <w:rFonts w:cs="Arial"/>
          <w:color w:val="auto"/>
          <w:u w:val="single"/>
        </w:rPr>
        <w:t xml:space="preserve"> court appointed guardian ad litem,</w:t>
      </w:r>
      <w:r w:rsidRPr="00F708D9">
        <w:rPr>
          <w:rFonts w:cs="Arial"/>
          <w:color w:val="auto"/>
          <w:u w:val="single"/>
        </w:rPr>
        <w:t xml:space="preserve"> or any person or entity having legal custody of the minor child, including the agency filing the civil abuse and neglect petition.</w:t>
      </w:r>
    </w:p>
    <w:p w14:paraId="4DDFBB1A" w14:textId="77A0140A" w:rsidR="00366F6F" w:rsidRPr="00F708D9" w:rsidRDefault="00366F6F" w:rsidP="00366F6F">
      <w:pPr>
        <w:pStyle w:val="SectionBody"/>
        <w:rPr>
          <w:color w:val="auto"/>
        </w:rPr>
      </w:pPr>
      <w:r w:rsidRPr="00F708D9">
        <w:rPr>
          <w:rFonts w:cs="Arial"/>
          <w:color w:val="auto"/>
          <w:u w:val="single"/>
        </w:rPr>
        <w:t xml:space="preserve">(b) </w:t>
      </w:r>
      <w:r w:rsidR="003F63FD" w:rsidRPr="00F708D9">
        <w:rPr>
          <w:rFonts w:cs="Arial"/>
          <w:color w:val="auto"/>
          <w:u w:val="single"/>
        </w:rPr>
        <w:t xml:space="preserve">All records and proceedings related to a claim based upon a civil abuse and neglect petition are confidential and may not be disclosed to any person who is not a necessary participant in the proceedings. Information, details, and identities of parties in the claim shall not be published, except in the form of statistical reporting, identified only by claim number, </w:t>
      </w:r>
      <w:r w:rsidR="007E4051" w:rsidRPr="00F708D9">
        <w:rPr>
          <w:rFonts w:cs="Arial"/>
          <w:color w:val="auto"/>
          <w:u w:val="single"/>
        </w:rPr>
        <w:t>as necessary to satisfy the requirements of federal and state law</w:t>
      </w:r>
      <w:r w:rsidR="003F63FD" w:rsidRPr="00F708D9">
        <w:rPr>
          <w:rFonts w:cs="Arial"/>
          <w:color w:val="auto"/>
          <w:u w:val="single"/>
        </w:rPr>
        <w:t>.</w:t>
      </w:r>
    </w:p>
    <w:p w14:paraId="6E078823" w14:textId="77777777" w:rsidR="001E5B3B" w:rsidRPr="00F708D9" w:rsidRDefault="001E5B3B" w:rsidP="007E4051">
      <w:pPr>
        <w:pStyle w:val="SectionHeading"/>
        <w:rPr>
          <w:color w:val="auto"/>
        </w:rPr>
      </w:pPr>
      <w:r w:rsidRPr="00F708D9">
        <w:rPr>
          <w:color w:val="auto"/>
        </w:rPr>
        <w:t>§14-2A-14. Grounds for denial of claim or reduction of awards; maximum award.</w:t>
      </w:r>
    </w:p>
    <w:p w14:paraId="5DED939A" w14:textId="77777777" w:rsidR="009E70BB" w:rsidRPr="00F708D9" w:rsidRDefault="009E70BB" w:rsidP="007E4051">
      <w:pPr>
        <w:pStyle w:val="SectionBody"/>
        <w:rPr>
          <w:color w:val="auto"/>
        </w:rPr>
        <w:sectPr w:rsidR="009E70BB" w:rsidRPr="00F708D9" w:rsidSect="0038675D">
          <w:type w:val="continuous"/>
          <w:pgSz w:w="12240" w:h="15840" w:code="1"/>
          <w:pgMar w:top="1440" w:right="1440" w:bottom="1440" w:left="1440" w:header="720" w:footer="720" w:gutter="0"/>
          <w:lnNumType w:countBy="1" w:restart="newSection"/>
          <w:cols w:space="720"/>
          <w:titlePg/>
          <w:docGrid w:linePitch="360"/>
        </w:sectPr>
      </w:pPr>
    </w:p>
    <w:p w14:paraId="10F49B85" w14:textId="7BD60E3F" w:rsidR="001E5B3B" w:rsidRPr="00F708D9" w:rsidRDefault="001E5B3B" w:rsidP="007E4051">
      <w:pPr>
        <w:pStyle w:val="SectionBody"/>
        <w:rPr>
          <w:color w:val="auto"/>
        </w:rPr>
      </w:pPr>
      <w:r w:rsidRPr="00F708D9">
        <w:rPr>
          <w:color w:val="auto"/>
        </w:rPr>
        <w:t xml:space="preserve">(a) Except as provided in §14-2A-10(b) of this code, the commissioner may not approve </w:t>
      </w:r>
      <w:r w:rsidRPr="00F708D9">
        <w:rPr>
          <w:color w:val="auto"/>
        </w:rPr>
        <w:lastRenderedPageBreak/>
        <w:t>an award of compensation to a claimant who did not file his or her application for an award of compensation within two years after the date of the occurrence of the criminally injurious conduct that caused the injury or death for which he or she is seeking an award of compensation.</w:t>
      </w:r>
    </w:p>
    <w:p w14:paraId="12FEE9FA" w14:textId="43669283" w:rsidR="001E5B3B" w:rsidRPr="00F708D9" w:rsidRDefault="001E5B3B" w:rsidP="007E4051">
      <w:pPr>
        <w:pStyle w:val="SectionBody"/>
        <w:rPr>
          <w:color w:val="auto"/>
        </w:rPr>
      </w:pPr>
      <w:r w:rsidRPr="00F708D9">
        <w:rPr>
          <w:color w:val="auto"/>
        </w:rPr>
        <w:t xml:space="preserve">(b) The commissioner may not approve an award of compensation if the criminally injurious conduct upon which the claim is based was not reported to a law-enforcement officer or agency or, in the case of sexual offense, the victim did not undergo a forensic medical examination, within 96 hours after the occurrence of the conduct, unless it is determined that good cause existed for the failure to report the conduct or undergo a forensic medical examination within the 96-hour period: </w:t>
      </w:r>
      <w:r w:rsidRPr="00F708D9">
        <w:rPr>
          <w:i/>
          <w:iCs/>
          <w:color w:val="auto"/>
        </w:rPr>
        <w:t xml:space="preserve">Provided, </w:t>
      </w:r>
      <w:r w:rsidRPr="00F708D9">
        <w:rPr>
          <w:color w:val="auto"/>
        </w:rPr>
        <w:t xml:space="preserve">That no reporting to a law-enforcement officer or agency or a forensic medical examination is required if the victim is a juvenile in order for a commissioner to approve an award of compensation: </w:t>
      </w:r>
      <w:r w:rsidRPr="00F708D9">
        <w:rPr>
          <w:i/>
          <w:iCs/>
          <w:color w:val="auto"/>
        </w:rPr>
        <w:t>Provided, however,</w:t>
      </w:r>
      <w:r w:rsidRPr="00F708D9">
        <w:rPr>
          <w:color w:val="auto"/>
        </w:rPr>
        <w:t xml:space="preserve"> That the filing of a civil abuse and neglect petition in a circuit court satisfies the reporting requirement, thereby allowing the minor child who is the subject of the petition to file an application for benefits, with the claims process to proceed in accordance with this code</w:t>
      </w:r>
      <w:r w:rsidR="00366F6F" w:rsidRPr="00F708D9">
        <w:rPr>
          <w:color w:val="auto"/>
        </w:rPr>
        <w:t>.</w:t>
      </w:r>
      <w:r w:rsidR="00366F6F" w:rsidRPr="00F708D9">
        <w:rPr>
          <w:rFonts w:cs="Arial"/>
          <w:color w:val="auto"/>
        </w:rPr>
        <w:t xml:space="preserve"> </w:t>
      </w:r>
      <w:r w:rsidR="00411D01" w:rsidRPr="00F708D9">
        <w:rPr>
          <w:rFonts w:cs="Arial"/>
          <w:strike/>
          <w:color w:val="auto"/>
        </w:rPr>
        <w:t>The agency filing the civil abuse and neglect petition shall file an application for benefits on behalf of the minor child</w:t>
      </w:r>
    </w:p>
    <w:p w14:paraId="5862D92F" w14:textId="77777777" w:rsidR="001E5B3B" w:rsidRPr="00F708D9" w:rsidRDefault="001E5B3B" w:rsidP="007E4051">
      <w:pPr>
        <w:pStyle w:val="SectionBody"/>
        <w:rPr>
          <w:color w:val="auto"/>
        </w:rPr>
      </w:pPr>
      <w:r w:rsidRPr="00F708D9">
        <w:rPr>
          <w:color w:val="auto"/>
        </w:rPr>
        <w:t>(c) The commissioner may not approve an award of compensation to a claimant who is the offender or an accomplice of the offender who committed the criminally injurious conduct, nor to any claimant if the award would unjustly benefit the offender or his or her accomplice.</w:t>
      </w:r>
    </w:p>
    <w:p w14:paraId="6332D735" w14:textId="77777777" w:rsidR="001E5B3B" w:rsidRPr="00F708D9" w:rsidRDefault="001E5B3B" w:rsidP="007E4051">
      <w:pPr>
        <w:pStyle w:val="SectionBody"/>
        <w:rPr>
          <w:color w:val="auto"/>
        </w:rPr>
      </w:pPr>
      <w:r w:rsidRPr="00F708D9">
        <w:rPr>
          <w:color w:val="auto"/>
        </w:rPr>
        <w:t>(d) A commissioner, upon a finding that the claimant or victim has not fully cooperated with appropriate law-enforcement agencies or the claim investigator, may deny a claim, reduce an award of compensation, or reconsider a claim already approved.</w:t>
      </w:r>
    </w:p>
    <w:p w14:paraId="3077051D" w14:textId="77777777" w:rsidR="001E5B3B" w:rsidRPr="00F708D9" w:rsidRDefault="001E5B3B" w:rsidP="007E4051">
      <w:pPr>
        <w:pStyle w:val="SectionBody"/>
        <w:rPr>
          <w:color w:val="auto"/>
        </w:rPr>
      </w:pPr>
      <w:r w:rsidRPr="00F708D9">
        <w:rPr>
          <w:color w:val="auto"/>
        </w:rPr>
        <w:t>(e) A commissioner may not approve an award of compensation if the injury occurred while the victim was confined in any state, county, or regional jail, prison, private prison, or correctional facility.</w:t>
      </w:r>
    </w:p>
    <w:p w14:paraId="610C02D9" w14:textId="77777777" w:rsidR="001E5B3B" w:rsidRPr="00F708D9" w:rsidRDefault="001E5B3B" w:rsidP="007E4051">
      <w:pPr>
        <w:pStyle w:val="SectionBody"/>
        <w:rPr>
          <w:color w:val="auto"/>
        </w:rPr>
      </w:pPr>
      <w:r w:rsidRPr="00F708D9">
        <w:rPr>
          <w:color w:val="auto"/>
        </w:rPr>
        <w:t xml:space="preserve">(f) After reaching a decision to approve an award of compensation, but prior to announcing the approval, the commissioner shall require the claimant to submit current information as to </w:t>
      </w:r>
      <w:r w:rsidRPr="00F708D9">
        <w:rPr>
          <w:color w:val="auto"/>
        </w:rPr>
        <w:lastRenderedPageBreak/>
        <w:t>collateral sources on forms prescribed by the Clerk of the West Virginia Legislative Claims Commission. The commissioner shall reduce an award of compensation or deny a claim for an award of compensation that is otherwise payable to a claimant to the extent that the economic loss upon which the claim is based is or will be recouped from other persons, including collateral sources, or if the reduction or denial is determined to be reasonable because of the contributory misconduct of the claimant or of a victim through whom he or she claims. If an award is reduced or a claim is denied because of the expected recoupment of all or part of the economic loss of the claimant from a collateral source, the amount of the award or the denial of the claim shall be conditioned upon the claimant’s economic loss being recouped by the collateral source:</w:t>
      </w:r>
      <w:r w:rsidRPr="00F708D9">
        <w:rPr>
          <w:i/>
          <w:iCs/>
          <w:color w:val="auto"/>
        </w:rPr>
        <w:t xml:space="preserve"> Provided,</w:t>
      </w:r>
      <w:r w:rsidRPr="00F708D9">
        <w:rPr>
          <w:color w:val="auto"/>
        </w:rPr>
        <w:t xml:space="preserve"> That if it is thereafter determined that the claimant will not receive all or part of the expected recoupment, the claim shall be reopened and an award shall be approved in an amount equal to the amount of expected recoupment that it is determined the claimant will not receive from the collateral source, subject to the limitation set forth in subsection (g) of this section.</w:t>
      </w:r>
    </w:p>
    <w:p w14:paraId="24D62C74" w14:textId="77777777" w:rsidR="001E5B3B" w:rsidRPr="00F708D9" w:rsidRDefault="001E5B3B" w:rsidP="007E4051">
      <w:pPr>
        <w:pStyle w:val="SectionBody"/>
        <w:rPr>
          <w:color w:val="auto"/>
        </w:rPr>
      </w:pPr>
      <w:r w:rsidRPr="00F708D9">
        <w:rPr>
          <w:color w:val="auto"/>
        </w:rPr>
        <w:t>(g)(1) Except in the case of death, or as provided in subdivision (2) of this subsection, compensation payable to a victim and to all other claimants sustaining economic loss because of injury to that victim may not exceed $35,000 in the aggregate. Compensation payable to all claimants because of the death of the victim may not exceed $50,000 in the aggregate.</w:t>
      </w:r>
    </w:p>
    <w:p w14:paraId="47742E04" w14:textId="77777777" w:rsidR="001E5B3B" w:rsidRPr="00F708D9" w:rsidRDefault="001E5B3B" w:rsidP="007E4051">
      <w:pPr>
        <w:pStyle w:val="SectionBody"/>
        <w:rPr>
          <w:color w:val="auto"/>
        </w:rPr>
      </w:pPr>
      <w:r w:rsidRPr="00F708D9">
        <w:rPr>
          <w:color w:val="auto"/>
        </w:rPr>
        <w:t>(2) In the event the victim’s personal injuries are so severe as to leave the victim with a disability, as defined in Section 223 of the Social Security Act, as amended, as codified in 42 U. S. C. §423, the commission may award an additional amount, not to exceed $100,000, for special needs attributable to the injury.</w:t>
      </w:r>
    </w:p>
    <w:p w14:paraId="4F161B0E" w14:textId="24F202E5" w:rsidR="001E5B3B" w:rsidRPr="00F708D9" w:rsidRDefault="001E5B3B" w:rsidP="007E4051">
      <w:pPr>
        <w:pStyle w:val="SectionBody"/>
        <w:rPr>
          <w:color w:val="auto"/>
        </w:rPr>
      </w:pPr>
      <w:r w:rsidRPr="00F708D9">
        <w:rPr>
          <w:color w:val="auto"/>
        </w:rPr>
        <w:t xml:space="preserve">(h) If an award of compensation of $5,000 or more is made to a minor, a guardian shall be appointed pursuant to the provisions of §44-10-1 </w:t>
      </w:r>
      <w:r w:rsidRPr="00F708D9">
        <w:rPr>
          <w:i/>
          <w:iCs/>
          <w:color w:val="auto"/>
        </w:rPr>
        <w:t>et seq.</w:t>
      </w:r>
      <w:r w:rsidRPr="00F708D9">
        <w:rPr>
          <w:color w:val="auto"/>
        </w:rPr>
        <w:t xml:space="preserve"> of this code to manage the minor’s estate.</w:t>
      </w:r>
    </w:p>
    <w:p w14:paraId="63C2E560" w14:textId="46E683F8" w:rsidR="00745B3E" w:rsidRPr="00F708D9" w:rsidRDefault="00745B3E" w:rsidP="007E4051">
      <w:pPr>
        <w:pStyle w:val="ChapterHeading"/>
        <w:rPr>
          <w:color w:val="auto"/>
        </w:rPr>
      </w:pPr>
      <w:r w:rsidRPr="00F708D9">
        <w:rPr>
          <w:color w:val="auto"/>
        </w:rPr>
        <w:t>CHAPTER 49. CHILD WELFARE.</w:t>
      </w:r>
    </w:p>
    <w:p w14:paraId="40D1ADFA" w14:textId="7B1A7254" w:rsidR="00745B3E" w:rsidRPr="00F708D9" w:rsidRDefault="00745B3E" w:rsidP="007E4051">
      <w:pPr>
        <w:pStyle w:val="ArticleHeading"/>
        <w:rPr>
          <w:color w:val="auto"/>
        </w:rPr>
      </w:pPr>
      <w:r w:rsidRPr="00F708D9">
        <w:rPr>
          <w:color w:val="auto"/>
        </w:rPr>
        <w:t>ARTICLE 5. RECORD KEEPING AND DATABASE.</w:t>
      </w:r>
    </w:p>
    <w:p w14:paraId="67A6424C" w14:textId="77777777" w:rsidR="00745B3E" w:rsidRPr="00F708D9" w:rsidRDefault="00745B3E" w:rsidP="00745B3E">
      <w:pPr>
        <w:pStyle w:val="SectionHeading"/>
        <w:rPr>
          <w:color w:val="auto"/>
        </w:rPr>
      </w:pPr>
      <w:r w:rsidRPr="00F708D9">
        <w:rPr>
          <w:color w:val="auto"/>
        </w:rPr>
        <w:lastRenderedPageBreak/>
        <w:t>§49-5-101. Confidentiality of records; nonrelease of records; exceptions; penalties.</w:t>
      </w:r>
    </w:p>
    <w:p w14:paraId="25026070" w14:textId="77777777" w:rsidR="00366F6F" w:rsidRPr="00F708D9" w:rsidRDefault="00366F6F" w:rsidP="007E4051">
      <w:pPr>
        <w:widowControl w:val="0"/>
        <w:ind w:firstLine="720"/>
        <w:jc w:val="both"/>
        <w:rPr>
          <w:color w:val="auto"/>
        </w:rPr>
        <w:sectPr w:rsidR="00366F6F" w:rsidRPr="00F708D9" w:rsidSect="0038675D">
          <w:type w:val="continuous"/>
          <w:pgSz w:w="12240" w:h="15840" w:code="1"/>
          <w:pgMar w:top="1440" w:right="1440" w:bottom="1440" w:left="1440" w:header="720" w:footer="720" w:gutter="0"/>
          <w:lnNumType w:countBy="1" w:restart="newSection"/>
          <w:cols w:space="720"/>
          <w:docGrid w:linePitch="360"/>
        </w:sectPr>
      </w:pPr>
    </w:p>
    <w:p w14:paraId="29F43E90" w14:textId="37CF4121" w:rsidR="00745B3E" w:rsidRPr="00F708D9" w:rsidRDefault="00745B3E" w:rsidP="007E4051">
      <w:pPr>
        <w:widowControl w:val="0"/>
        <w:ind w:firstLine="720"/>
        <w:jc w:val="both"/>
        <w:rPr>
          <w:color w:val="auto"/>
        </w:rPr>
      </w:pPr>
      <w:r w:rsidRPr="00F708D9">
        <w:rPr>
          <w:color w:val="auto"/>
        </w:rPr>
        <w:t>(a) Except as otherwise provided in this chapter or by order of the court, all records and information concerning a child or juvenile which are maintained by the Division of Juvenile Services, the Department of Health and Human Resources, a child agency or facility, court or law-enforcement agency are confidential and shall not be released or disclosed to anyone, including any federal or state agency.</w:t>
      </w:r>
    </w:p>
    <w:p w14:paraId="1A10D85B" w14:textId="77777777" w:rsidR="00745B3E" w:rsidRPr="00F708D9" w:rsidRDefault="00745B3E" w:rsidP="007E4051">
      <w:pPr>
        <w:widowControl w:val="0"/>
        <w:ind w:firstLine="720"/>
        <w:jc w:val="both"/>
        <w:rPr>
          <w:color w:val="auto"/>
        </w:rPr>
      </w:pPr>
      <w:r w:rsidRPr="00F708D9">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1348DDD3" w14:textId="77777777" w:rsidR="00745B3E" w:rsidRPr="00F708D9" w:rsidRDefault="00745B3E" w:rsidP="007E4051">
      <w:pPr>
        <w:widowControl w:val="0"/>
        <w:ind w:firstLine="720"/>
        <w:jc w:val="both"/>
        <w:rPr>
          <w:color w:val="auto"/>
        </w:rPr>
      </w:pPr>
      <w:r w:rsidRPr="00F708D9">
        <w:rPr>
          <w:color w:val="auto"/>
        </w:rPr>
        <w:t>(1) Where otherwise authorized by this chapter;</w:t>
      </w:r>
    </w:p>
    <w:p w14:paraId="6D72950E" w14:textId="77777777" w:rsidR="00745B3E" w:rsidRPr="00F708D9" w:rsidRDefault="00745B3E" w:rsidP="007E4051">
      <w:pPr>
        <w:widowControl w:val="0"/>
        <w:ind w:firstLine="720"/>
        <w:jc w:val="both"/>
        <w:rPr>
          <w:color w:val="auto"/>
        </w:rPr>
      </w:pPr>
      <w:r w:rsidRPr="00F708D9">
        <w:rPr>
          <w:color w:val="auto"/>
        </w:rPr>
        <w:t>(2) To:</w:t>
      </w:r>
    </w:p>
    <w:p w14:paraId="5FCD3D22" w14:textId="77777777" w:rsidR="00745B3E" w:rsidRPr="00F708D9" w:rsidRDefault="00745B3E" w:rsidP="007E4051">
      <w:pPr>
        <w:widowControl w:val="0"/>
        <w:ind w:firstLine="720"/>
        <w:jc w:val="both"/>
        <w:rPr>
          <w:color w:val="auto"/>
        </w:rPr>
      </w:pPr>
      <w:r w:rsidRPr="00F708D9">
        <w:rPr>
          <w:color w:val="auto"/>
        </w:rPr>
        <w:t>(A) The child;</w:t>
      </w:r>
    </w:p>
    <w:p w14:paraId="5FAF35B7" w14:textId="77777777" w:rsidR="00745B3E" w:rsidRPr="00F708D9" w:rsidRDefault="00745B3E" w:rsidP="007E4051">
      <w:pPr>
        <w:widowControl w:val="0"/>
        <w:ind w:firstLine="720"/>
        <w:jc w:val="both"/>
        <w:rPr>
          <w:color w:val="auto"/>
        </w:rPr>
      </w:pPr>
      <w:r w:rsidRPr="00F708D9">
        <w:rPr>
          <w:color w:val="auto"/>
        </w:rPr>
        <w:t>(B) A parent whose parental rights have not been terminated; or</w:t>
      </w:r>
    </w:p>
    <w:p w14:paraId="5FAC8AB1" w14:textId="77777777" w:rsidR="00745B3E" w:rsidRPr="00F708D9" w:rsidRDefault="00745B3E" w:rsidP="007E4051">
      <w:pPr>
        <w:widowControl w:val="0"/>
        <w:ind w:firstLine="720"/>
        <w:jc w:val="both"/>
        <w:rPr>
          <w:color w:val="auto"/>
        </w:rPr>
      </w:pPr>
      <w:r w:rsidRPr="00F708D9">
        <w:rPr>
          <w:color w:val="auto"/>
        </w:rPr>
        <w:t>(C) The attorney of the child or parent;</w:t>
      </w:r>
    </w:p>
    <w:p w14:paraId="795180A3" w14:textId="77777777" w:rsidR="00745B3E" w:rsidRPr="00F708D9" w:rsidRDefault="00745B3E" w:rsidP="007E4051">
      <w:pPr>
        <w:widowControl w:val="0"/>
        <w:ind w:firstLine="720"/>
        <w:jc w:val="both"/>
        <w:rPr>
          <w:color w:val="auto"/>
        </w:rPr>
      </w:pPr>
      <w:r w:rsidRPr="00F708D9">
        <w:rPr>
          <w:color w:val="auto"/>
        </w:rPr>
        <w:t>(3) With the written consent of the child or of someone authorized to act on the child’s behalf; or</w:t>
      </w:r>
    </w:p>
    <w:p w14:paraId="46C0F356" w14:textId="77777777" w:rsidR="00745B3E" w:rsidRPr="00F708D9" w:rsidRDefault="00745B3E" w:rsidP="007E4051">
      <w:pPr>
        <w:widowControl w:val="0"/>
        <w:ind w:firstLine="720"/>
        <w:jc w:val="both"/>
        <w:rPr>
          <w:color w:val="auto"/>
        </w:rPr>
      </w:pPr>
      <w:r w:rsidRPr="00F708D9">
        <w:rPr>
          <w:color w:val="auto"/>
        </w:rPr>
        <w:t>(4) Pursuant to an order of a court of record. However, the court shall review the record or records for relevancy and materiality to the issues in the proceeding and safety, and may issue an order to limit the examination and use of the records or any part thereof.</w:t>
      </w:r>
    </w:p>
    <w:p w14:paraId="73440979" w14:textId="77777777" w:rsidR="00745B3E" w:rsidRPr="00F708D9" w:rsidRDefault="00745B3E" w:rsidP="007E4051">
      <w:pPr>
        <w:widowControl w:val="0"/>
        <w:ind w:firstLine="720"/>
        <w:jc w:val="both"/>
        <w:rPr>
          <w:color w:val="auto"/>
        </w:rPr>
      </w:pPr>
      <w:r w:rsidRPr="00F708D9">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142C61FE" w14:textId="77777777" w:rsidR="00745B3E" w:rsidRPr="00F708D9" w:rsidRDefault="00745B3E" w:rsidP="007E4051">
      <w:pPr>
        <w:widowControl w:val="0"/>
        <w:ind w:firstLine="720"/>
        <w:jc w:val="both"/>
        <w:rPr>
          <w:color w:val="auto"/>
        </w:rPr>
      </w:pPr>
      <w:r w:rsidRPr="00F708D9">
        <w:rPr>
          <w:color w:val="auto"/>
        </w:rPr>
        <w:t xml:space="preserve">(1) Federal, state or local government entities, or any agent of those entities, including law-enforcement agencies and prosecuting attorneys, having a need for that information in order </w:t>
      </w:r>
      <w:r w:rsidRPr="00F708D9">
        <w:rPr>
          <w:color w:val="auto"/>
        </w:rPr>
        <w:lastRenderedPageBreak/>
        <w:t>to carry out its responsibilities under law to protect children from abuse and neglect;</w:t>
      </w:r>
    </w:p>
    <w:p w14:paraId="05B80AA5" w14:textId="77777777" w:rsidR="00745B3E" w:rsidRPr="00F708D9" w:rsidRDefault="00745B3E" w:rsidP="007E4051">
      <w:pPr>
        <w:widowControl w:val="0"/>
        <w:ind w:firstLine="720"/>
        <w:jc w:val="both"/>
        <w:rPr>
          <w:color w:val="auto"/>
        </w:rPr>
      </w:pPr>
      <w:r w:rsidRPr="00F708D9">
        <w:rPr>
          <w:color w:val="auto"/>
        </w:rPr>
        <w:t>(2) The child fatality review team;</w:t>
      </w:r>
    </w:p>
    <w:p w14:paraId="007D065B" w14:textId="77777777" w:rsidR="00745B3E" w:rsidRPr="00F708D9" w:rsidRDefault="00745B3E" w:rsidP="007E4051">
      <w:pPr>
        <w:widowControl w:val="0"/>
        <w:ind w:firstLine="720"/>
        <w:jc w:val="both"/>
        <w:rPr>
          <w:color w:val="auto"/>
        </w:rPr>
      </w:pPr>
      <w:r w:rsidRPr="00F708D9">
        <w:rPr>
          <w:color w:val="auto"/>
        </w:rPr>
        <w:t>(3) Child abuse citizen review panels;</w:t>
      </w:r>
    </w:p>
    <w:p w14:paraId="57697D31" w14:textId="77777777" w:rsidR="00745B3E" w:rsidRPr="00F708D9" w:rsidRDefault="00745B3E" w:rsidP="007E4051">
      <w:pPr>
        <w:widowControl w:val="0"/>
        <w:ind w:firstLine="720"/>
        <w:jc w:val="both"/>
        <w:rPr>
          <w:color w:val="auto"/>
        </w:rPr>
      </w:pPr>
      <w:r w:rsidRPr="00F708D9">
        <w:rPr>
          <w:color w:val="auto"/>
        </w:rPr>
        <w:t xml:space="preserve">(4) Multidisciplinary investigative and treatment teams; </w:t>
      </w:r>
      <w:r w:rsidRPr="00F708D9">
        <w:rPr>
          <w:strike/>
          <w:color w:val="auto"/>
        </w:rPr>
        <w:t>or</w:t>
      </w:r>
    </w:p>
    <w:p w14:paraId="04F49A1F" w14:textId="11A220D5" w:rsidR="00745B3E" w:rsidRPr="00F708D9" w:rsidRDefault="00745B3E" w:rsidP="007E4051">
      <w:pPr>
        <w:widowControl w:val="0"/>
        <w:ind w:firstLine="720"/>
        <w:jc w:val="both"/>
        <w:rPr>
          <w:color w:val="auto"/>
        </w:rPr>
      </w:pPr>
      <w:r w:rsidRPr="00F708D9">
        <w:rPr>
          <w:color w:val="auto"/>
        </w:rPr>
        <w:t>(5) A grand jury, circuit court or family court, upon a finding that information in the records is necessary for the determination of an issue before the grand jury, circuit court or family court</w:t>
      </w:r>
      <w:r w:rsidR="00B46B25" w:rsidRPr="00F708D9">
        <w:rPr>
          <w:color w:val="auto"/>
        </w:rPr>
        <w:t>;</w:t>
      </w:r>
      <w:r w:rsidRPr="00F708D9">
        <w:rPr>
          <w:color w:val="auto"/>
        </w:rPr>
        <w:t xml:space="preserve"> </w:t>
      </w:r>
      <w:r w:rsidRPr="00F708D9">
        <w:rPr>
          <w:color w:val="auto"/>
          <w:u w:val="single"/>
        </w:rPr>
        <w:t>or</w:t>
      </w:r>
    </w:p>
    <w:p w14:paraId="3D2FA04A" w14:textId="5A054985" w:rsidR="00745B3E" w:rsidRPr="00F708D9" w:rsidRDefault="00745B3E" w:rsidP="007E4051">
      <w:pPr>
        <w:widowControl w:val="0"/>
        <w:ind w:firstLine="720"/>
        <w:jc w:val="both"/>
        <w:rPr>
          <w:color w:val="auto"/>
          <w:u w:val="single"/>
        </w:rPr>
      </w:pPr>
      <w:r w:rsidRPr="00F708D9">
        <w:rPr>
          <w:color w:val="auto"/>
          <w:u w:val="single"/>
        </w:rPr>
        <w:t>(6) The West Virginia Crime Victims’ Compensation Fund</w:t>
      </w:r>
      <w:r w:rsidR="00F9256B" w:rsidRPr="00F708D9">
        <w:rPr>
          <w:color w:val="auto"/>
          <w:u w:val="single"/>
        </w:rPr>
        <w:t>,</w:t>
      </w:r>
      <w:r w:rsidRPr="00F708D9">
        <w:rPr>
          <w:color w:val="auto"/>
          <w:u w:val="single"/>
        </w:rPr>
        <w:t xml:space="preserve"> </w:t>
      </w:r>
      <w:r w:rsidR="001603C2" w:rsidRPr="00F708D9">
        <w:rPr>
          <w:color w:val="auto"/>
          <w:u w:val="single"/>
        </w:rPr>
        <w:t>to review allegations of injurious conduct committed by or against a child and, if appropriate, to make a determination for award of benefits to the victims.</w:t>
      </w:r>
    </w:p>
    <w:p w14:paraId="36C9439F" w14:textId="190F0FB0" w:rsidR="00745B3E" w:rsidRPr="00F708D9" w:rsidRDefault="00745B3E" w:rsidP="007E4051">
      <w:pPr>
        <w:widowControl w:val="0"/>
        <w:ind w:firstLine="720"/>
        <w:jc w:val="both"/>
        <w:rPr>
          <w:color w:val="auto"/>
        </w:rPr>
      </w:pPr>
      <w:r w:rsidRPr="00F708D9">
        <w:rPr>
          <w:color w:val="auto"/>
        </w:rPr>
        <w:t xml:space="preserve">(d) In the event of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rsidR="00193CCB" w:rsidRPr="00F708D9">
        <w:rPr>
          <w:color w:val="auto"/>
        </w:rPr>
        <w:t>“</w:t>
      </w:r>
      <w:r w:rsidRPr="00F708D9">
        <w:rPr>
          <w:color w:val="auto"/>
        </w:rPr>
        <w:t>near fatality</w:t>
      </w:r>
      <w:r w:rsidR="00193CCB" w:rsidRPr="00F708D9">
        <w:rPr>
          <w:color w:val="auto"/>
        </w:rPr>
        <w:t>”</w:t>
      </w:r>
      <w:r w:rsidRPr="00F708D9">
        <w:rPr>
          <w:color w:val="auto"/>
        </w:rPr>
        <w:t xml:space="preserve"> means any medical condition of the child which is certified by the attending physician to be life threatening.</w:t>
      </w:r>
    </w:p>
    <w:p w14:paraId="6233F29E" w14:textId="77777777" w:rsidR="00745B3E" w:rsidRPr="00F708D9" w:rsidRDefault="00745B3E" w:rsidP="007E4051">
      <w:pPr>
        <w:widowControl w:val="0"/>
        <w:ind w:firstLine="720"/>
        <w:jc w:val="both"/>
        <w:rPr>
          <w:color w:val="auto"/>
        </w:rPr>
      </w:pPr>
      <w:r w:rsidRPr="00F708D9">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7DEF78A7" w14:textId="77777777" w:rsidR="00745B3E" w:rsidRPr="00F708D9" w:rsidRDefault="00745B3E" w:rsidP="007E4051">
      <w:pPr>
        <w:widowControl w:val="0"/>
        <w:ind w:firstLine="720"/>
        <w:jc w:val="both"/>
        <w:rPr>
          <w:color w:val="auto"/>
        </w:rPr>
      </w:pPr>
      <w:r w:rsidRPr="00F708D9">
        <w:rPr>
          <w:color w:val="auto"/>
        </w:rPr>
        <w:t xml:space="preserve">(f) Any person who willfully violates this section is guilty of a misdemeanor and, upon conviction, shall be fined not more than $1,000, or confined in jail for not more than six months, or both fined and confined. A person convicted of violating this section is also liable for damages </w:t>
      </w:r>
      <w:r w:rsidRPr="00F708D9">
        <w:rPr>
          <w:color w:val="auto"/>
        </w:rPr>
        <w:lastRenderedPageBreak/>
        <w:t>in the amount of $300 or actual damages, whichever is greater.</w:t>
      </w:r>
    </w:p>
    <w:p w14:paraId="66F49607" w14:textId="77777777" w:rsidR="00745B3E" w:rsidRPr="00F708D9" w:rsidRDefault="00745B3E" w:rsidP="007E4051">
      <w:pPr>
        <w:widowControl w:val="0"/>
        <w:ind w:firstLine="720"/>
        <w:jc w:val="both"/>
        <w:rPr>
          <w:color w:val="auto"/>
        </w:rPr>
      </w:pPr>
      <w:r w:rsidRPr="00F708D9">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502C7205" w14:textId="77777777" w:rsidR="00745B3E" w:rsidRPr="00F708D9" w:rsidRDefault="00745B3E" w:rsidP="007E4051">
      <w:pPr>
        <w:widowControl w:val="0"/>
        <w:ind w:firstLine="720"/>
        <w:jc w:val="both"/>
        <w:rPr>
          <w:color w:val="auto"/>
        </w:rPr>
      </w:pPr>
      <w:r w:rsidRPr="00F708D9">
        <w:rPr>
          <w:color w:val="auto"/>
        </w:rPr>
        <w:t>(h)(1) Notwithstanding the provisions of this section or any other provision of this code to the contrary, the Division of Juvenile Services may provide access to and the confidential use of a treatment plan, court records or other records of a juvenile to an agency in another state which:</w:t>
      </w:r>
    </w:p>
    <w:p w14:paraId="541EFDBC" w14:textId="77777777" w:rsidR="00745B3E" w:rsidRPr="00F708D9" w:rsidRDefault="00745B3E" w:rsidP="007E4051">
      <w:pPr>
        <w:widowControl w:val="0"/>
        <w:ind w:firstLine="720"/>
        <w:jc w:val="both"/>
        <w:rPr>
          <w:color w:val="auto"/>
        </w:rPr>
      </w:pPr>
      <w:r w:rsidRPr="00F708D9">
        <w:rPr>
          <w:color w:val="auto"/>
        </w:rPr>
        <w:t>(A) Performs the same functions in that state that are performed by the Division of Juvenile Services in this state;</w:t>
      </w:r>
    </w:p>
    <w:p w14:paraId="43F8FFEB" w14:textId="77777777" w:rsidR="00745B3E" w:rsidRPr="00F708D9" w:rsidRDefault="00745B3E" w:rsidP="007E4051">
      <w:pPr>
        <w:widowControl w:val="0"/>
        <w:ind w:firstLine="720"/>
        <w:jc w:val="both"/>
        <w:rPr>
          <w:color w:val="auto"/>
        </w:rPr>
      </w:pPr>
      <w:r w:rsidRPr="00F708D9">
        <w:rPr>
          <w:color w:val="auto"/>
        </w:rPr>
        <w:t>(B) Has a reciprocal agreement with this state; and</w:t>
      </w:r>
    </w:p>
    <w:p w14:paraId="427EC66B" w14:textId="77777777" w:rsidR="00745B3E" w:rsidRPr="00F708D9" w:rsidRDefault="00745B3E" w:rsidP="007E4051">
      <w:pPr>
        <w:widowControl w:val="0"/>
        <w:ind w:firstLine="720"/>
        <w:jc w:val="both"/>
        <w:rPr>
          <w:color w:val="auto"/>
        </w:rPr>
      </w:pPr>
      <w:r w:rsidRPr="00F708D9">
        <w:rPr>
          <w:color w:val="auto"/>
        </w:rPr>
        <w:t>(C) Has legal custody of the juvenile.</w:t>
      </w:r>
    </w:p>
    <w:p w14:paraId="148ECDDE" w14:textId="77777777" w:rsidR="00745B3E" w:rsidRPr="00F708D9" w:rsidRDefault="00745B3E" w:rsidP="007E4051">
      <w:pPr>
        <w:widowControl w:val="0"/>
        <w:ind w:firstLine="720"/>
        <w:jc w:val="both"/>
        <w:rPr>
          <w:color w:val="auto"/>
        </w:rPr>
      </w:pPr>
      <w:r w:rsidRPr="00F708D9">
        <w:rPr>
          <w:color w:val="auto"/>
        </w:rPr>
        <w:t>(2) A record which is shared under this subsection may only provide information which is relevant to the supervision, care, custody and treatment of the juvenile.</w:t>
      </w:r>
    </w:p>
    <w:p w14:paraId="457C6CB4" w14:textId="2A475CE4" w:rsidR="00745B3E" w:rsidRPr="00F708D9" w:rsidRDefault="00745B3E" w:rsidP="007E4051">
      <w:pPr>
        <w:widowControl w:val="0"/>
        <w:ind w:firstLine="720"/>
        <w:jc w:val="both"/>
        <w:rPr>
          <w:color w:val="auto"/>
        </w:rPr>
      </w:pPr>
      <w:r w:rsidRPr="00F708D9">
        <w:rPr>
          <w:color w:val="auto"/>
        </w:rPr>
        <w:t>(3) The Division of Juvenile Services is authorized to enter into reciprocal agreements with other states and to propose rules for legislative approval in accordance with</w:t>
      </w:r>
      <w:r w:rsidR="00F9256B" w:rsidRPr="00F708D9">
        <w:rPr>
          <w:color w:val="auto"/>
        </w:rPr>
        <w:t xml:space="preserve"> §29A-3-1 </w:t>
      </w:r>
      <w:r w:rsidR="00F9256B" w:rsidRPr="00F708D9">
        <w:rPr>
          <w:rFonts w:cstheme="minorHAnsi"/>
          <w:i/>
          <w:iCs/>
          <w:color w:val="auto"/>
        </w:rPr>
        <w:t>et seq</w:t>
      </w:r>
      <w:r w:rsidR="00F9256B" w:rsidRPr="00F708D9">
        <w:rPr>
          <w:rFonts w:cstheme="minorHAnsi"/>
          <w:color w:val="auto"/>
        </w:rPr>
        <w:t>. of this code</w:t>
      </w:r>
      <w:r w:rsidRPr="00F708D9">
        <w:rPr>
          <w:color w:val="auto"/>
        </w:rPr>
        <w:t xml:space="preserve"> to implement this subsection.</w:t>
      </w:r>
    </w:p>
    <w:p w14:paraId="516311ED" w14:textId="77777777" w:rsidR="00745B3E" w:rsidRPr="00F708D9" w:rsidRDefault="00745B3E" w:rsidP="007E4051">
      <w:pPr>
        <w:widowControl w:val="0"/>
        <w:ind w:firstLine="720"/>
        <w:jc w:val="both"/>
        <w:rPr>
          <w:color w:val="auto"/>
        </w:rPr>
      </w:pPr>
      <w:r w:rsidRPr="00F708D9">
        <w:rPr>
          <w:color w:val="auto"/>
        </w:rPr>
        <w:t>(4) Other than the authorization explicitly given in this subsection, this subsection may not be construed to enlarge or restrict access to juvenile records as provided elsewhere in this code.</w:t>
      </w:r>
    </w:p>
    <w:p w14:paraId="60B39773" w14:textId="2DFA65EC" w:rsidR="00745B3E" w:rsidRPr="00F708D9" w:rsidRDefault="00745B3E" w:rsidP="007E4051">
      <w:pPr>
        <w:widowControl w:val="0"/>
        <w:ind w:firstLine="720"/>
        <w:jc w:val="both"/>
        <w:rPr>
          <w:color w:val="auto"/>
        </w:rPr>
      </w:pPr>
      <w:r w:rsidRPr="00F708D9">
        <w:rPr>
          <w:color w:val="auto"/>
        </w:rPr>
        <w:t xml:space="preserve">(i) The records subject to disclosure pursuant to subsection (b) of this section shall not include a recorded/videotaped interview, as defined in </w:t>
      </w:r>
      <w:r w:rsidR="00F9256B" w:rsidRPr="00F708D9">
        <w:rPr>
          <w:color w:val="auto"/>
        </w:rPr>
        <w:t xml:space="preserve">§62-6B-2(6) </w:t>
      </w:r>
      <w:r w:rsidRPr="00F708D9">
        <w:rPr>
          <w:color w:val="auto"/>
        </w:rPr>
        <w:t xml:space="preserve">of this code, the disclosure of which is exclusively subject to the provisions of </w:t>
      </w:r>
      <w:r w:rsidR="00F9256B" w:rsidRPr="00F708D9">
        <w:rPr>
          <w:color w:val="auto"/>
        </w:rPr>
        <w:t>§62-6B-6 of this code</w:t>
      </w:r>
      <w:r w:rsidRPr="00F708D9">
        <w:rPr>
          <w:color w:val="auto"/>
        </w:rPr>
        <w:t>.</w:t>
      </w:r>
    </w:p>
    <w:p w14:paraId="35636CDD" w14:textId="77777777" w:rsidR="00C33014" w:rsidRPr="00F708D9" w:rsidRDefault="00C33014" w:rsidP="00CC1F3B">
      <w:pPr>
        <w:pStyle w:val="Note"/>
        <w:rPr>
          <w:color w:val="auto"/>
        </w:rPr>
      </w:pPr>
    </w:p>
    <w:p w14:paraId="425428CF" w14:textId="248366A9" w:rsidR="006865E9" w:rsidRPr="00F708D9" w:rsidRDefault="00CF1DCA" w:rsidP="00CC1F3B">
      <w:pPr>
        <w:pStyle w:val="Note"/>
        <w:rPr>
          <w:color w:val="auto"/>
        </w:rPr>
      </w:pPr>
      <w:r w:rsidRPr="00F708D9">
        <w:rPr>
          <w:color w:val="auto"/>
        </w:rPr>
        <w:t>NOTE: The</w:t>
      </w:r>
      <w:r w:rsidR="006865E9" w:rsidRPr="00F708D9">
        <w:rPr>
          <w:color w:val="auto"/>
        </w:rPr>
        <w:t xml:space="preserve"> purpose of this bill is to </w:t>
      </w:r>
      <w:r w:rsidR="00411D01" w:rsidRPr="00F708D9">
        <w:rPr>
          <w:color w:val="auto"/>
        </w:rPr>
        <w:t>broaden the class of persons who may apply on behalf of a child in foster care or is a subject of a civil abuse and neglect petition and to authorize law enforcement, guardians, and court and public agency personnel, to disclose information and records for purposes of evaluation for Crime Victims’ Compensation Fund benefits.</w:t>
      </w:r>
    </w:p>
    <w:p w14:paraId="31AE74D4" w14:textId="77777777" w:rsidR="006865E9" w:rsidRPr="00F708D9" w:rsidRDefault="00AE48A0" w:rsidP="00CC1F3B">
      <w:pPr>
        <w:pStyle w:val="Note"/>
        <w:rPr>
          <w:color w:val="auto"/>
        </w:rPr>
      </w:pPr>
      <w:r w:rsidRPr="00F708D9">
        <w:rPr>
          <w:color w:val="auto"/>
        </w:rPr>
        <w:t>Strike-throughs indicate language that would be stricken from a heading or the present law and underscoring indicates new language that would be added.</w:t>
      </w:r>
    </w:p>
    <w:sectPr w:rsidR="006865E9" w:rsidRPr="00F708D9" w:rsidSect="003867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C80D" w14:textId="77777777" w:rsidR="007E4051" w:rsidRPr="00B844FE" w:rsidRDefault="007E4051" w:rsidP="00B844FE">
      <w:r>
        <w:separator/>
      </w:r>
    </w:p>
  </w:endnote>
  <w:endnote w:type="continuationSeparator" w:id="0">
    <w:p w14:paraId="5154C0D1" w14:textId="77777777" w:rsidR="007E4051" w:rsidRPr="00B844FE" w:rsidRDefault="007E40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25816"/>
      <w:docPartObj>
        <w:docPartGallery w:val="Page Numbers (Bottom of Page)"/>
        <w:docPartUnique/>
      </w:docPartObj>
    </w:sdtPr>
    <w:sdtEndPr>
      <w:rPr>
        <w:noProof/>
      </w:rPr>
    </w:sdtEndPr>
    <w:sdtContent>
      <w:p w14:paraId="15075385" w14:textId="292060D2" w:rsidR="008C190A" w:rsidRDefault="008C19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3C357" w14:textId="77777777" w:rsidR="008C190A" w:rsidRDefault="008C1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927" w14:textId="365E0C2A" w:rsidR="008C190A" w:rsidRDefault="008C190A">
    <w:pPr>
      <w:pStyle w:val="Footer"/>
      <w:jc w:val="center"/>
    </w:pPr>
  </w:p>
  <w:p w14:paraId="5824FE95" w14:textId="77777777" w:rsidR="00A41E5C" w:rsidRDefault="00A4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A483" w14:textId="77777777" w:rsidR="007E4051" w:rsidRPr="00B844FE" w:rsidRDefault="007E4051" w:rsidP="00B844FE">
      <w:r>
        <w:separator/>
      </w:r>
    </w:p>
  </w:footnote>
  <w:footnote w:type="continuationSeparator" w:id="0">
    <w:p w14:paraId="532CB41B" w14:textId="77777777" w:rsidR="007E4051" w:rsidRPr="00B844FE" w:rsidRDefault="007E40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CC7E" w14:textId="77777777" w:rsidR="007E4051" w:rsidRPr="00B7750A" w:rsidRDefault="007E4051" w:rsidP="007E4051">
    <w:pPr>
      <w:pStyle w:val="Header"/>
    </w:pPr>
    <w:r>
      <w:t>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0510" w14:textId="5CF0CC0B" w:rsidR="00A41E5C" w:rsidRPr="00A41E5C" w:rsidRDefault="00A41E5C" w:rsidP="00A41E5C">
    <w:pPr>
      <w:pStyle w:val="HeaderStyle"/>
      <w:rPr>
        <w:sz w:val="22"/>
        <w:szCs w:val="22"/>
      </w:rPr>
    </w:pPr>
    <w:r w:rsidRPr="00A41E5C">
      <w:rPr>
        <w:sz w:val="22"/>
        <w:szCs w:val="22"/>
      </w:rPr>
      <w:t>Intr HB</w:t>
    </w:r>
    <w:sdt>
      <w:sdtPr>
        <w:rPr>
          <w:sz w:val="22"/>
          <w:szCs w:val="22"/>
        </w:rPr>
        <w:tag w:val="BNumWH"/>
        <w:id w:val="805664886"/>
        <w:showingPlcHdr/>
        <w:text/>
      </w:sdtPr>
      <w:sdtEndPr/>
      <w:sdtContent/>
    </w:sdt>
    <w:r w:rsidRPr="00A41E5C">
      <w:rPr>
        <w:sz w:val="22"/>
        <w:szCs w:val="22"/>
      </w:rPr>
      <w:t xml:space="preserve"> </w:t>
    </w:r>
    <w:r w:rsidRPr="00A41E5C">
      <w:rPr>
        <w:sz w:val="22"/>
        <w:szCs w:val="22"/>
      </w:rPr>
      <w:ptab w:relativeTo="margin" w:alignment="center" w:leader="none"/>
    </w:r>
    <w:r w:rsidRPr="00A41E5C">
      <w:rPr>
        <w:sz w:val="22"/>
        <w:szCs w:val="22"/>
      </w:rPr>
      <w:tab/>
    </w:r>
    <w:sdt>
      <w:sdtPr>
        <w:rPr>
          <w:sz w:val="22"/>
          <w:szCs w:val="22"/>
        </w:rPr>
        <w:alias w:val="CBD Number"/>
        <w:tag w:val="CBD Number"/>
        <w:id w:val="-1307079329"/>
        <w:text/>
      </w:sdtPr>
      <w:sdtEndPr/>
      <w:sdtContent>
        <w:r w:rsidRPr="00A41E5C">
          <w:rPr>
            <w:sz w:val="22"/>
            <w:szCs w:val="22"/>
          </w:rPr>
          <w:t>2022R1</w:t>
        </w:r>
        <w:r>
          <w:rPr>
            <w:sz w:val="22"/>
            <w:szCs w:val="22"/>
          </w:rPr>
          <w:t>886</w:t>
        </w:r>
      </w:sdtContent>
    </w:sdt>
  </w:p>
  <w:p w14:paraId="6417A3D6" w14:textId="77777777" w:rsidR="00A41E5C" w:rsidRDefault="00A41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3B"/>
    <w:rsid w:val="0000526A"/>
    <w:rsid w:val="000573A9"/>
    <w:rsid w:val="00085D22"/>
    <w:rsid w:val="000C5C77"/>
    <w:rsid w:val="000E3912"/>
    <w:rsid w:val="000F7570"/>
    <w:rsid w:val="0010070F"/>
    <w:rsid w:val="0015112E"/>
    <w:rsid w:val="001552E7"/>
    <w:rsid w:val="001566B4"/>
    <w:rsid w:val="001603C2"/>
    <w:rsid w:val="00193CCB"/>
    <w:rsid w:val="001A66B7"/>
    <w:rsid w:val="001C279E"/>
    <w:rsid w:val="001D459E"/>
    <w:rsid w:val="001E5B3B"/>
    <w:rsid w:val="0022348D"/>
    <w:rsid w:val="0027011C"/>
    <w:rsid w:val="00274200"/>
    <w:rsid w:val="00275740"/>
    <w:rsid w:val="002A0269"/>
    <w:rsid w:val="00303684"/>
    <w:rsid w:val="003143F5"/>
    <w:rsid w:val="00314854"/>
    <w:rsid w:val="00344F20"/>
    <w:rsid w:val="00366F6F"/>
    <w:rsid w:val="0038675D"/>
    <w:rsid w:val="00394191"/>
    <w:rsid w:val="003C51CD"/>
    <w:rsid w:val="003C6034"/>
    <w:rsid w:val="003F63FD"/>
    <w:rsid w:val="00400B5C"/>
    <w:rsid w:val="00411D01"/>
    <w:rsid w:val="004368E0"/>
    <w:rsid w:val="00440CF3"/>
    <w:rsid w:val="00447AFA"/>
    <w:rsid w:val="004C13DD"/>
    <w:rsid w:val="004D3ABE"/>
    <w:rsid w:val="004E3441"/>
    <w:rsid w:val="00500579"/>
    <w:rsid w:val="005A5366"/>
    <w:rsid w:val="006369EB"/>
    <w:rsid w:val="00637E73"/>
    <w:rsid w:val="006565D7"/>
    <w:rsid w:val="006865E9"/>
    <w:rsid w:val="00686E9A"/>
    <w:rsid w:val="00691F3E"/>
    <w:rsid w:val="00694BFB"/>
    <w:rsid w:val="006A106B"/>
    <w:rsid w:val="006C523D"/>
    <w:rsid w:val="006D4036"/>
    <w:rsid w:val="00745B3E"/>
    <w:rsid w:val="007A41D9"/>
    <w:rsid w:val="007A5259"/>
    <w:rsid w:val="007A7081"/>
    <w:rsid w:val="007E4051"/>
    <w:rsid w:val="007F1CF5"/>
    <w:rsid w:val="00834EDE"/>
    <w:rsid w:val="008736AA"/>
    <w:rsid w:val="008C190A"/>
    <w:rsid w:val="008D275D"/>
    <w:rsid w:val="008F3FEC"/>
    <w:rsid w:val="009025A7"/>
    <w:rsid w:val="00980327"/>
    <w:rsid w:val="00986478"/>
    <w:rsid w:val="009B5557"/>
    <w:rsid w:val="009E70BB"/>
    <w:rsid w:val="009F1067"/>
    <w:rsid w:val="009F25B6"/>
    <w:rsid w:val="00A31E01"/>
    <w:rsid w:val="00A41E5C"/>
    <w:rsid w:val="00A527AD"/>
    <w:rsid w:val="00A718CF"/>
    <w:rsid w:val="00AE48A0"/>
    <w:rsid w:val="00AE61BE"/>
    <w:rsid w:val="00B16F25"/>
    <w:rsid w:val="00B24422"/>
    <w:rsid w:val="00B444ED"/>
    <w:rsid w:val="00B46B25"/>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78B3"/>
    <w:rsid w:val="00E831B3"/>
    <w:rsid w:val="00E95FBC"/>
    <w:rsid w:val="00EC2CFE"/>
    <w:rsid w:val="00EC5E63"/>
    <w:rsid w:val="00EE70CB"/>
    <w:rsid w:val="00F41CA2"/>
    <w:rsid w:val="00F443C0"/>
    <w:rsid w:val="00F62EFB"/>
    <w:rsid w:val="00F708D9"/>
    <w:rsid w:val="00F81ABE"/>
    <w:rsid w:val="00F9256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05857F"/>
  <w15:chartTrackingRefBased/>
  <w15:docId w15:val="{33C63BA3-8C07-4F15-A367-62C34A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5B3B"/>
    <w:rPr>
      <w:rFonts w:eastAsia="Calibri"/>
      <w:b/>
      <w:caps/>
      <w:color w:val="000000"/>
      <w:sz w:val="24"/>
    </w:rPr>
  </w:style>
  <w:style w:type="character" w:customStyle="1" w:styleId="ChapterHeadingChar">
    <w:name w:val="Chapter Heading Char"/>
    <w:link w:val="ChapterHeading"/>
    <w:rsid w:val="00745B3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A785A552D469199FA7279674A88DD"/>
        <w:category>
          <w:name w:val="General"/>
          <w:gallery w:val="placeholder"/>
        </w:category>
        <w:types>
          <w:type w:val="bbPlcHdr"/>
        </w:types>
        <w:behaviors>
          <w:behavior w:val="content"/>
        </w:behaviors>
        <w:guid w:val="{3D80A39A-84CD-4E88-80FB-21C9EB0D5925}"/>
      </w:docPartPr>
      <w:docPartBody>
        <w:p w:rsidR="006F402E" w:rsidRDefault="006F402E">
          <w:pPr>
            <w:pStyle w:val="422A785A552D469199FA7279674A88DD"/>
          </w:pPr>
          <w:r w:rsidRPr="00B844FE">
            <w:t>Prefix Text</w:t>
          </w:r>
        </w:p>
      </w:docPartBody>
    </w:docPart>
    <w:docPart>
      <w:docPartPr>
        <w:name w:val="FF5FD200C609444C90FCABCE24BD7497"/>
        <w:category>
          <w:name w:val="General"/>
          <w:gallery w:val="placeholder"/>
        </w:category>
        <w:types>
          <w:type w:val="bbPlcHdr"/>
        </w:types>
        <w:behaviors>
          <w:behavior w:val="content"/>
        </w:behaviors>
        <w:guid w:val="{A58DB0B0-03E4-48C9-88BA-FAC42BC7D56D}"/>
      </w:docPartPr>
      <w:docPartBody>
        <w:p w:rsidR="006F402E" w:rsidRDefault="006F402E">
          <w:pPr>
            <w:pStyle w:val="FF5FD200C609444C90FCABCE24BD7497"/>
          </w:pPr>
          <w:r w:rsidRPr="00B844FE">
            <w:t>[Type here]</w:t>
          </w:r>
        </w:p>
      </w:docPartBody>
    </w:docPart>
    <w:docPart>
      <w:docPartPr>
        <w:name w:val="4B9515F18378463499E9605973881FEC"/>
        <w:category>
          <w:name w:val="General"/>
          <w:gallery w:val="placeholder"/>
        </w:category>
        <w:types>
          <w:type w:val="bbPlcHdr"/>
        </w:types>
        <w:behaviors>
          <w:behavior w:val="content"/>
        </w:behaviors>
        <w:guid w:val="{EF8F5B67-4CFE-48A6-9D4B-6266068E46F2}"/>
      </w:docPartPr>
      <w:docPartBody>
        <w:p w:rsidR="006F402E" w:rsidRDefault="006F402E">
          <w:pPr>
            <w:pStyle w:val="4B9515F18378463499E9605973881FEC"/>
          </w:pPr>
          <w:r w:rsidRPr="00B844FE">
            <w:t>Number</w:t>
          </w:r>
        </w:p>
      </w:docPartBody>
    </w:docPart>
    <w:docPart>
      <w:docPartPr>
        <w:name w:val="8EF710B097354D43835A78E6B53516CC"/>
        <w:category>
          <w:name w:val="General"/>
          <w:gallery w:val="placeholder"/>
        </w:category>
        <w:types>
          <w:type w:val="bbPlcHdr"/>
        </w:types>
        <w:behaviors>
          <w:behavior w:val="content"/>
        </w:behaviors>
        <w:guid w:val="{2DAB2DCC-755A-4552-BFCD-1B10823727B3}"/>
      </w:docPartPr>
      <w:docPartBody>
        <w:p w:rsidR="006F402E" w:rsidRDefault="006F402E">
          <w:pPr>
            <w:pStyle w:val="8EF710B097354D43835A78E6B53516C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2E"/>
    <w:rsid w:val="006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A785A552D469199FA7279674A88DD">
    <w:name w:val="422A785A552D469199FA7279674A88DD"/>
  </w:style>
  <w:style w:type="paragraph" w:customStyle="1" w:styleId="FF5FD200C609444C90FCABCE24BD7497">
    <w:name w:val="FF5FD200C609444C90FCABCE24BD7497"/>
  </w:style>
  <w:style w:type="paragraph" w:customStyle="1" w:styleId="4B9515F18378463499E9605973881FEC">
    <w:name w:val="4B9515F18378463499E9605973881FEC"/>
  </w:style>
  <w:style w:type="paragraph" w:customStyle="1" w:styleId="8EF710B097354D43835A78E6B53516CC">
    <w:name w:val="8EF710B097354D43835A78E6B53516CC"/>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2022-01-10T18:35:00Z</cp:lastPrinted>
  <dcterms:created xsi:type="dcterms:W3CDTF">2022-01-20T14:19:00Z</dcterms:created>
  <dcterms:modified xsi:type="dcterms:W3CDTF">2022-01-25T16:54:00Z</dcterms:modified>
</cp:coreProperties>
</file>